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ZQualVBau (Bayern) — Erlöschen, Widerruf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Anerkennung erlischt</w:t>
      </w:r>
    </w:p>
    <w:p>
      <w:r>
        <w:t xml:space="preserve">1. mit Ablauf der in § 10 Abs. 2 bezeichneten Frist, wenn sie nicht verlängert worden ist oder</w:t>
      </w:r>
    </w:p>
    <w:p>
      <w:r>
        <w:t xml:space="preserve">2. wenn die berechtigte Person gegenüber der Handwerkskammer für Mittelfranken schriftlich auf sie verzichtet.</w:t>
      </w:r>
    </w:p>
    <w:p>
      <w:r>
        <w:t xml:space="preserve">(2) Unbeschadet des Art. 49 BayVwVfG kann die Anerkennung widerrufen werden, wenn die berechtigte Person</w:t>
      </w:r>
    </w:p>
    <w:p>
      <w:r>
        <w:t xml:space="preserve">1. infolge geistiger oder körperlicher Gebrechen nicht mehr in der Lage ist, ihre Tätigkeit ordnungsgemäß auszuüben oder</w:t>
      </w:r>
    </w:p>
    <w:p>
      <w:r>
        <w:t xml:space="preserve">2. Bauvorlagen oder bautechnische Nachweise wiederholt oder gröblich mangelhaft erstellt hat.</w:t>
      </w:r>
    </w:p>
    <w:p>
      <w:r>
        <w:rPr>
          <w:color w:val="555555"/>
          <w:sz w:val="17"/>
        </w:rPr>
        <w:t xml:space="preserve">Zitiervorschlag: § 12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