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ZPVtrAUTAG</w:t>
      </w:r>
    </w:p>
    <w:p>
      <w:r>
        <w:rPr>
          <w:color w:val="555555"/>
          <w:sz w:val="18"/>
        </w:rPr>
        <w:t xml:space="preserve">Gesetz zur Ausführung des Vertrages zwischen der Bundesrepublik Deutschland und der Republik Österreich vom 6. Juni 1959 über die gegenseitige Anerkennung und Vollstreckung von gerichtlichen Entscheidungen, Vergleichen und öffentlichen Urkunden in Zivil- und Handelssachen</w:t>
      </w:r>
    </w:p>
    <w:p>
      <w:r>
        <w:rPr>
          <w:color w:val="555555"/>
          <w:sz w:val="18"/>
        </w:rPr>
        <w:t xml:space="preserve">Stand: 10.06.2019 (konsolidierte Textfassung, kein amtliches Inkrafttretensdatum)</w:t>
      </w:r>
    </w:p>
    <w:p>
      <w:r>
        <w:t xml:space="preserve">(1) Wird eine gerichtliche Entscheidung, ein gerichtlicher Vergleich oder eine öffentliche Urkunde nach der Vollstreckbarerklärung in Österreich aufgehoben oder abgeändert und kann der Schuldner diese Tatsache in dem Verfahren der Vollstreckbarerklärung nicht mehr geltend machen, so kann er die Aufhebung oder Abänderung der Vollstreckbarerklärung in einem besonderen Verfahren beantragen.</w:t>
      </w:r>
    </w:p>
    <w:p>
      <w:r>
        <w:t xml:space="preserve">(2) Für die Entscheidung über den Antrag ist das Gericht ausschließlich zuständig, das in dem Verfahren der Vollstreckbarerklärung im ersten Rechtszug entschieden hat. Über den Antrag kann ohne mündliche Verhandlung entschieden werden; vor der Entscheidung ist der Gläubiger zu hören. Die Entscheidung ergeht durch Beschluß, der dem Gläubiger und dem Schuldner von Amts wegen zuzustellen ist. Der Beschluss unterliegt der Beschwerde nach den §§ 567 bis 577 der Zivilprozessordnung.</w:t>
      </w:r>
    </w:p>
    <w:p>
      <w:r>
        <w:t xml:space="preserve">(3) Für die Einstellung der Zwangsvollstreckung und die Aufhebung bereits getroffener Vollstreckungsmaßregeln gelten §§ 769, 770 der Zivilprozeßordnung entsprechend. Die Aufhebung einer Vollstreckungsmaßregel ist auch ohne Sicherheitsleistung zulässig.</w:t>
      </w:r>
    </w:p>
    <w:p>
      <w:r>
        <w:rPr>
          <w:color w:val="555555"/>
          <w:sz w:val="17"/>
        </w:rPr>
        <w:t xml:space="preserve">Zitiervorschlag: § 7 ZPVtrAUTAG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https://recht.nulegal.eu/gesetze/ZPVtrAUTAG/7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