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ZPVtrAUTAG</w:t>
      </w:r>
    </w:p>
    <w:p>
      <w:r>
        <w:rPr>
          <w:color w:val="555555"/>
          <w:sz w:val="18"/>
        </w:rPr>
        <w:t xml:space="preserve">Gesetz zur Ausführung des Vertrages zwischen der Bundesrepublik Deutschland und der Republik Österreich vom 6. Juni 1959 über die gegenseitige Anerkennung und Vollstreckung von gerichtlichen Entscheidungen, Vergleichen und öffentlichen Urkunden in Zivil- und Handelssachen</w:t>
      </w:r>
    </w:p>
    <w:p>
      <w:r>
        <w:rPr>
          <w:color w:val="555555"/>
          <w:sz w:val="18"/>
        </w:rPr>
        <w:t xml:space="preserve">Stand: 10.06.2019 (konsolidierte Textfassung, kein amtliches Inkrafttretensdatum)</w:t>
      </w:r>
    </w:p>
    <w:p>
      <w:r>
        <w:t xml:space="preserve">(1) Ist eine noch nicht rechtskräftige Entscheidung eines österreichischen Gerichts, hinsichtlich deren die Exekution zur Sicherstellung für zulässig erklärt worden ist, für vollstreckbar zu erklären (Artikel 8, 9 des Vertrages), so ist in dem Beschluß auszusprechen, daß die Entscheidung nur zur Sicherung der Zwangsvollstreckung für vollstreckbar erklärt wird.</w:t>
      </w:r>
    </w:p>
    <w:p>
      <w:r>
        <w:t xml:space="preserve">(2) Erlangt die Entscheidung des österreichischen Gerichts, die nach Absatz 1 zur Sicherung der Zwangsvollstreckung für vollstreckbar erklärt worden ist, später die Rechtskraft, so ist der Beschluß über die Vollstreckbarerklärung auf Antrag des Gläubigers dahin zu ändern, daß die Entscheidung ohne Beschränkung für vollstreckbar erklärt wird. Das gleiche gilt für den Fall, daß die Entscheidung des österreichischen Gerichts bereits die Rechtskraft erlangt hat, bevor der Beschluß über die Vollstreckbarerklärung erlassen wird, sofern der Eintritt der Rechtskraft in dem Verfahren nicht geltend gemacht worden ist. Über den Antrag ist ohne mündliche Verhandlung zu entscheiden; vor der Entscheidung ist der Gegner zu hören. Für das Verfahren gelten im übrigen § 1064 Abs. 2 der Zivilprozeßordnung und § 2 Abs. 2 und 4 entsprechend.</w:t>
      </w:r>
    </w:p>
    <w:p>
      <w:r>
        <w:rPr>
          <w:color w:val="555555"/>
          <w:sz w:val="17"/>
        </w:rPr>
        <w:t xml:space="preserve">Zitiervorschlag: § 3 ZPVtrAUTAG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https://recht.nulegal.eu/gesetze/ZPVtrAUTAG/3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