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ZPVtrAUTAG</w:t>
      </w:r>
    </w:p>
    <w:p>
      <w:r>
        <w:rPr>
          <w:color w:val="555555"/>
          <w:sz w:val="18"/>
        </w:rPr>
        <w:t xml:space="preserve">Gesetz zur Ausführung des Vertrages zwischen der Bundesrepublik Deutschland und der Republik Österreich vom 6. Juni 1959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(1) Für die Vollstreckbarerklärung der in § 1 Abs. 1 genannten Schuldtitel gelten § 1063 Abs. 1 und § 1064 Abs. 2 der Zivilprozeßordnung entsprechend, soweit nicht in § 3 etwas Besonderes bestimmt ist.</w:t>
      </w:r>
    </w:p>
    <w:p>
      <w:r>
        <w:t xml:space="preserve">(2) Dem Antrag soll die für die Zustellung erforderliche Zahl von Abschriften beigefügt werden.</w:t>
      </w:r>
    </w:p>
    <w:p>
      <w:r>
        <w:t xml:space="preserve">(3) Wird die mündliche Verhandlung angeordnet, so ist der Termin den Parteien von Amts wegen bekanntzumachen. Im Verfahren vor den Landgerichten soll die Bekanntmachung die Aufforderung gemäß § 215 der Zivilprozeßordnung enthalten.</w:t>
      </w:r>
    </w:p>
    <w:p>
      <w:r>
        <w:t xml:space="preserve">(4) Der Beschluss unterliegt der Beschwerde nach den §§ 567 bis 577 der Zivilprozessordnung. Die §§ 707, 717, 1065 gelten entsprechend.</w:t>
      </w:r>
    </w:p>
    <w:p>
      <w:r>
        <w:t xml:space="preserve">(5) (weggefallen)</w:t>
      </w:r>
    </w:p>
    <w:p>
      <w:r>
        <w:rPr>
          <w:color w:val="555555"/>
          <w:sz w:val="17"/>
        </w:rPr>
        <w:t xml:space="preserve">Zitiervorschlag: § 2 ZPVtrAUTAG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https://recht.nulegal.eu/gesetze/ZPVtrAUTAG/2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