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ZPOEG — Übergangsvorschrift zum Gesetz zur Änderung des Zuständigkeitsstreitwerts der Amtsgerichte, zum Ausbau der Spezialisierung der Justiz in Zivilsachen sowie zur Änderung weiterer prozessualer Regelungen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§§ 511, 544 und 567 der Zivilprozessordnung sind in ihrer bis einschließlich 31. Dezember 2025 geltenden Fassung weiter anzuwenden, wenn</w:t>
      </w:r>
    </w:p>
    <w:p>
      <w:pPr>
        <w:ind w:left="420"/>
      </w:pPr>
      <w:r>
        <w:t xml:space="preserve">1. die anzufechtende Entscheidung bis einschließlich 31. Dezember 2025 verkündet oder, wenn eine Verkündung nicht stattgefunden hat, der Geschäftsstelle übergeben worden ist oder</w:t>
      </w:r>
    </w:p>
    <w:p>
      <w:pPr>
        <w:ind w:left="420"/>
      </w:pPr>
      <w:r>
        <w:t xml:space="preserve">2. die mündliche Verhandlung, auf die die anzufechtende Entscheidung ergeht, bis einschließlich 31. Dezember 2025 geschlossen worden ist; in schriftlichen Verfahren tritt an die Stelle des Schlusses der mündlichen Verhandlung der Zeitpunkt, bis zu dem Schriftsätze eingereicht werden konnten.</w:t>
      </w:r>
    </w:p>
    <w:p>
      <w:r>
        <w:rPr>
          <w:color w:val="555555"/>
          <w:sz w:val="17"/>
        </w:rPr>
        <w:t xml:space="preserve">Zitiervorschlag: § 47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