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ZPOEG — Vorrang- und Beschleunigungsgebot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06.01.2021 (konsolidierte Textfassung, kein amtliches Inkrafttretensdatum)</w:t>
      </w:r>
    </w:p>
    <w:p>
      <w:r>
        <w:t xml:space="preserve">(1) Verfahren über die Anpassung der Miete oder Pacht für Grundstücke oder Räume, die keine Wohnräume sind, wegen staatlicher Maßnahmen zur Bekämpfung der COVID-19-Pandemie sind vorrangig und beschleunigt zu behandeln.</w:t>
      </w:r>
    </w:p>
    <w:p>
      <w:r>
        <w:t xml:space="preserve">(2) In Verfahren nach Absatz 1 soll ein früher erster Termin spätestens einen Monat nach Zustellung der Klageschrift stattfinden.</w:t>
      </w:r>
    </w:p>
    <w:p>
      <w:r>
        <w:rPr>
          <w:color w:val="555555"/>
          <w:sz w:val="17"/>
        </w:rPr>
        <w:t xml:space="preserve">Zitiervorschlag: § 44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