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ZPOEG — Übergangsvorschrift zum Gesetz zur Änderung des Prozesskostenhilfe- und Beratungshilferechts</w:t>
      </w:r>
    </w:p>
    <w:p>
      <w:r>
        <w:rPr>
          <w:color w:val="555555"/>
          <w:sz w:val="18"/>
        </w:rPr>
        <w:t xml:space="preserve">Gesetz, betreffend die Einführung der Zivilprozeßordnung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eine Partei vor dem 1. Januar 2014 für einen Rechtszug Prozesskostenhilfe beantragt, so sind für diesen Rechtszug die §§ 114 bis 127 der Zivilprozessordnung, § 48 Absatz 1 Nummer 1 der Bundesrechtsanwaltsordnung, § 4b der Insolvenzordnung, § 11a des Arbeitsgerichtsgesetzes, § 397a der Strafprozessordnung, § 77 Absatz 1 Satz 2 und § 168 Absatz 2 Satz 2 des Gesetzes über das Verfahren in Familiensachen und in Angelegenheiten der freiwilligen Gerichtsbarkeit, § 12 Satz 1 des Rechtsanwaltsvergütungsgesetzes sowie die §§ 136 und 137 des Patentgesetzes in der bis zum 31. Dezember 2013 geltenden Fassung anzuwenden. Eine Maßnahme der Zwangsvollstreckung gilt als besonderer Rechtszug.</w:t>
      </w:r>
    </w:p>
    <w:p>
      <w:r>
        <w:rPr>
          <w:color w:val="555555"/>
          <w:sz w:val="17"/>
        </w:rPr>
        <w:t xml:space="preserve">Zitiervorschlag: § 40 ZPOEG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https://recht.nulegal.eu/gesetze/ZPOEG/40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