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38a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Zurückweisungsbeschlüsse, die vor dem 27. Oktober 2011 erlassen wurden, ist § 522 Absatz 3 in der vor dem 27. Oktober 2011 geltenden Fassung weiter anzuwenden.</w:t>
      </w:r>
    </w:p>
    <w:p>
      <w:r>
        <w:t xml:space="preserve">(2) Auf Urteile, bei denen die Frist des § 586 Absatz 2 Satz 2 der Zivilprozessordnung am 27. Oktober 2011 abgelaufen ist, ist § 586 Absatz 4 der Zivilprozessordnung nicht anzuwenden.</w:t>
      </w:r>
    </w:p>
    <w:p>
      <w:r>
        <w:rPr>
          <w:color w:val="555555"/>
          <w:sz w:val="17"/>
        </w:rPr>
        <w:t xml:space="preserve">Zitiervorschlag: § 38a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https://recht.nulegal.eu/gesetze/ZPOEG/38a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