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3 ZPOEG</w:t>
      </w:r>
    </w:p>
    <w:p>
      <w:r>
        <w:rPr>
          <w:color w:val="555555"/>
          <w:sz w:val="18"/>
        </w:rPr>
        <w:t xml:space="preserve">Gesetz, betreffend die Einführung der Zivilprozeßordnung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Zivilprozeßordnung findet auf alle bürgerlichen Rechtsstreitigkeiten Anwendung, welche vor die ordentlichen Gerichte gehören.</w:t>
      </w:r>
    </w:p>
    <w:p>
      <w:r>
        <w:t xml:space="preserve">(2) Insoweit die Gerichtsbarkeit in bürgerlichen Rechtsstreitigkeiten, für welche besondere Gerichte zugelassen sind, durch die Landesgesetzgebung den ordentlichen Gerichten übertragen wird, kann dieselbe ein abweichendes Verfahren gestatten.</w:t>
      </w:r>
    </w:p>
    <w:p>
      <w:r>
        <w:rPr>
          <w:color w:val="555555"/>
          <w:sz w:val="17"/>
        </w:rPr>
        <w:t xml:space="preserve">Zitiervorschlag: § 3 ZPOEG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https://recht.nulegal.eu/gesetze/ZPOEG/3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