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ZPOEG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Rechtskräftig im Sinne dieses Gesetzes sind Endurteile, welche mit einem ordentlichen Rechtsmittel nicht mehr angefochten werden können.</w:t>
      </w:r>
    </w:p>
    <w:p>
      <w:r>
        <w:t xml:space="preserve">(2) Als ordentliche Rechtsmittel im Sinne des vorstehenden Absatzes sind diejenigen Rechtsmittel anzusehen, welche an eine von dem Tag der Verkündung oder Zustellung des Urteils laufende Notfrist gebunden sind.</w:t>
      </w:r>
    </w:p>
    <w:p>
      <w:r>
        <w:rPr>
          <w:color w:val="555555"/>
          <w:sz w:val="17"/>
        </w:rPr>
        <w:t xml:space="preserve">Zitiervorschlag: § 19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