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956 ZPO — Rechtsmittel gegen die Entscheidungen nach § 954 Absatz 1 bis 3 und § 955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 die Entscheidungen des Vollstreckungsgerichts nach § 954 Absatz 2 und 3 Satz 1 sowie nach § 955 Satz 1 findet die sofortige Beschwerde statt. Dies gilt auch für Entscheidungen des Gerichts des ersten Rechtszugs in den Fällen des § 954 Absatz 1 und 3 Satz 2 sowie des § 955 Satz 2.</w:t>
      </w:r>
    </w:p>
    <w:p>
      <w:r>
        <w:t xml:space="preserve">(2) Die sofortige Beschwerde ist innerhalb einer Notfrist von einem Monat ab Zustellung der Entscheidung einzulegen.</w:t>
      </w:r>
    </w:p>
    <w:p>
      <w:r>
        <w:rPr>
          <w:color w:val="555555"/>
          <w:sz w:val="17"/>
        </w:rPr>
        <w:t xml:space="preserve">Zitiervorschlag: § 956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https://recht.nulegal.eu/gesetze/ZPO/956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