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952 ZPO — Vollziehung von in einem anderen Mitgliedstaat erlassenen Beschlüssen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Zuständige Stelle ist</w:t>
      </w:r>
    </w:p>
    <w:p>
      <w:pPr>
        <w:ind w:left="420"/>
      </w:pPr>
      <w:r>
        <w:t xml:space="preserve">1. in den in Artikel 23 Absatz 3, 5 und 6, Artikel 25 Absatz 3 und Artikel 27 Absatz 2 der Verordnung (EU) Nr. 655/2014 bezeichneten Fällen das Amtsgericht, in dessen Bezirk das Vollstreckungsverfahren stattfinden soll oder stattgefunden hat,</w:t>
      </w:r>
    </w:p>
    <w:p>
      <w:pPr>
        <w:ind w:left="420"/>
      </w:pPr>
      <w:r>
        <w:t xml:space="preserve">2. in den in Artikel 28 Absatz 3 der Verordnung (EU) Nr. 655/2014 bezeichneten Fällen das Amtsgericht, in dessen Bezirk der Schuldner seinen Wohnsitz hat.</w:t>
      </w:r>
    </w:p>
    <w:p>
      <w:r>
        <w:t xml:space="preserve">(2) Das nach Absatz 1 Nummer 1 zuständige Amtsgericht hat</w:t>
      </w:r>
    </w:p>
    <w:p>
      <w:pPr>
        <w:ind w:left="420"/>
      </w:pPr>
      <w:r>
        <w:t xml:space="preserve">1. in den in Artikel 23 Absatz 3 der Verordnung (EU) Nr. 655/2014 bezeichneten Fällen der Bank den Beschluss zur vorläufigen Kontenpfändung zuzustellen,</w:t>
      </w:r>
    </w:p>
    <w:p>
      <w:pPr>
        <w:ind w:left="420"/>
      </w:pPr>
      <w:r>
        <w:t xml:space="preserve">2. in den in Artikel 27 Absatz 2 der Verordnung (EU) Nr. 655/2014 bezeichneten Fällen der Bank die Freigabeerklärung des Gläubigers zuzustellen.</w:t>
      </w:r>
    </w:p>
    <w:p>
      <w:r>
        <w:rPr>
          <w:color w:val="555555"/>
          <w:sz w:val="17"/>
        </w:rPr>
        <w:t xml:space="preserve">Zitiervorschlag: § 952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