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947 ZPO — Verfahren</w:t>
      </w:r>
    </w:p>
    <w:p>
      <w:r>
        <w:rPr>
          <w:color w:val="555555"/>
          <w:sz w:val="18"/>
        </w:rPr>
        <w:t xml:space="preserve">Zivilprozessordnung</w:t>
      </w:r>
    </w:p>
    <w:p>
      <w:r>
        <w:rPr>
          <w:color w:val="555555"/>
          <w:sz w:val="18"/>
        </w:rPr>
        <w:t xml:space="preserve">Stand: 02.12.2019 (konsolidierte Textfassung, kein amtliches Inkrafttretensdatum)</w:t>
      </w:r>
    </w:p>
    <w:p>
      <w:r>
        <w:t xml:space="preserve">(1) Der Gläubiger kann sich in dem Verfahren auf Erlass des Beschlusses zur vorläufigen Kontenpfändung aller Beweismittel sowie der Versicherung an Eides statt bedienen. Nur eine Beweisaufnahme, die sofort erfolgen kann, ist statthaft.</w:t>
      </w:r>
    </w:p>
    <w:p>
      <w:r>
        <w:t xml:space="preserve">(2) Das Gericht darf die ihm nach Artikel 14 Absatz 6 der Verordnung (EU) Nr. 655/2014 übermittelten Kontoinformationen für die Zwecke des jeweiligen Verfahrens auf Erlass eines Beschlusses zur vorläufigen Kontenpfändung speichern, übermitteln und nutzen. Soweit übermittelte Kontoinformationen für den Erlass des Beschlusses zur vorläufigen Kontenpfändung nicht erforderlich sind, sind sie unverzüglich zu löschen oder ist deren Verarbeitung einzuschränken. Die Löschung ist zu protokollieren. § 802d Absatz 1 Satz 3 gilt entsprechend.</w:t>
      </w:r>
    </w:p>
    <w:p>
      <w:r>
        <w:rPr>
          <w:color w:val="555555"/>
          <w:sz w:val="17"/>
        </w:rPr>
        <w:t xml:space="preserve">Zitiervorschlag: § 947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