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943 ZPO — Gericht der Hauptsache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Gericht der Hauptsache im Sinne der Vorschriften dieses Abschnitts ist das Gericht des ersten Rechtszuges und, wenn die Hauptsache in der Berufungsinstanz anhängig ist, das Berufungsgericht anzusehen.</w:t>
      </w:r>
    </w:p>
    <w:p>
      <w:r>
        <w:t xml:space="preserve">(2) Das Gericht der Hauptsache ist für die nach § 109 zu treffenden Anordnungen ausschließlich zuständig, wenn die Hauptsache anhängig ist oder anhängig gewesen ist.</w:t>
      </w:r>
    </w:p>
    <w:p>
      <w:r>
        <w:rPr>
          <w:color w:val="555555"/>
          <w:sz w:val="17"/>
        </w:rPr>
        <w:t xml:space="preserve">Zitiervorschlag: § 943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