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940a ZPO — Räumung von Wohnraum</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Räumung von Wohnraum darf durch einstweilige Verfügung nur wegen verbotener Eigenmacht oder bei einer konkreten Gefahr für Leib oder Leben angeordnet werden.</w:t>
      </w:r>
    </w:p>
    <w:p>
      <w:r>
        <w:t xml:space="preserve">(2) Die Räumung von Wohnraum darf durch einstweilige Verfügung auch gegen einen Dritten angeordnet werden, der im Besitz der Mietsache ist, wenn gegen den Mieter ein vollstreckbarer Räumungstitel vorliegt und der Vermieter vom Besitzerwerb des Dritten erst nach dem Schluss der mündlichen Verhandlung Kenntnis erlangt hat.</w:t>
      </w:r>
    </w:p>
    <w:p>
      <w:r>
        <w:t xml:space="preserve">(3) Ist Räumungsklage wegen Zahlungsverzugs erhoben, darf die Räumung von Wohnraum durch einstweilige Verfügung auch angeordnet werden, wenn der Beklagte einer Sicherungsanordnung (§ 283a) im Hauptsacheverfahren nicht Folge leistet.</w:t>
      </w:r>
    </w:p>
    <w:p>
      <w:r>
        <w:t xml:space="preserve">(4) In den Fällen der Absätze 2 und 3 hat das Gericht den Gegner vor Erlass einer Räumungsverfügung anzuhören.</w:t>
      </w:r>
    </w:p>
    <w:p>
      <w:r>
        <w:rPr>
          <w:color w:val="555555"/>
          <w:sz w:val="17"/>
        </w:rPr>
        <w:t xml:space="preserve">Zitiervorschlag: § 940a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