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932 ZPO — Arresthypothek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Vollziehung des Arrestes in ein Grundstück oder in eine Berechtigung, für welche die sich auf Grundstücke beziehenden Vorschriften gelten, erfolgt durch Eintragung einer Sicherungshypothek für die Forderung; der nach § 923 festgestellte Geldbetrag ist als der Höchstbetrag zu bezeichnen, für den das Grundstück oder die Berechtigung haftet. Ein Anspruch nach § 1179a oder § 1179b des Bürgerlichen Gesetzbuchs steht dem Gläubiger oder im Grundbuch eingetragenen Gläubiger der Sicherungshypothek nicht zu.</w:t>
      </w:r>
    </w:p>
    <w:p>
      <w:r>
        <w:t xml:space="preserve">(2) Im Übrigen gelten die Vorschriften des § 866 Abs. 3 Satz 1, des § 867 Abs. 1 und 2 und des § 868.</w:t>
      </w:r>
    </w:p>
    <w:p>
      <w:r>
        <w:t xml:space="preserve">(3) Der Antrag auf Eintragung der Hypothek gilt im Sinne des § 929 Abs. 2, 3 als Vollziehung des Arrestbefehls.</w:t>
      </w:r>
    </w:p>
    <w:p>
      <w:r>
        <w:rPr>
          <w:color w:val="555555"/>
          <w:sz w:val="17"/>
        </w:rPr>
        <w:t xml:space="preserve">Zitiervorschlag: § 932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