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931 ZPO — Vollziehung in eingetragenes Schiff oder Schiffsbauwerk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Vollziehung des Arrestes in ein eingetragenes Schiff oder Schiffsbauwerk wird durch Pfändung nach den Vorschriften über die Pfändung beweglicher Sachen mit folgenden Abweichungen bewirkt.</w:t>
      </w:r>
    </w:p>
    <w:p>
      <w:r>
        <w:t xml:space="preserve">(2) Die Pfändung begründet ein Pfandrecht an dem gepfändeten Schiff oder Schiffsbauwerk; das Pfandrecht gewährt dem Gläubiger im Verhältnis zu anderen Rechten dieselben Rechte wie eine Schiffshypothek.</w:t>
      </w:r>
    </w:p>
    <w:p>
      <w:r>
        <w:t xml:space="preserve">(3) Die Pfändung wird auf Antrag des Gläubigers vom Arrestgericht als Vollstreckungsgericht angeordnet; das Gericht hat zugleich das Registergericht um die Eintragung einer Vormerkung zur Sicherung des Arrestpfandrechts in das Schiffsregister oder Schiffsbauregister zu ersuchen; die Vormerkung erlischt, wenn die Vollziehung des Arrestes unstatthaft wird.</w:t>
      </w:r>
    </w:p>
    <w:p>
      <w:r>
        <w:t xml:space="preserve">(4) Der Gerichtsvollzieher hat bei der Vornahme der Pfändung das Schiff oder Schiffsbauwerk in Bewachung und Verwahrung zu nehmen.</w:t>
      </w:r>
    </w:p>
    <w:p>
      <w:r>
        <w:t xml:space="preserve">(5) Ist zur Zeit der Arrestvollziehung die Zwangsversteigerung des Schiffes oder Schiffsbauwerks eingeleitet, so gilt die in diesem Verfahren erfolgte Beschlagnahme des Schiffes oder Schiffsbauwerks als erste Pfändung im Sinne des § 826; die Abschrift des Pfändungsprotokolls ist dem Vollstreckungsgericht einzureichen.</w:t>
      </w:r>
    </w:p>
    <w:p>
      <w:r>
        <w:t xml:space="preserve">(6) Das Arrestpfandrecht wird auf Antrag des Gläubigers in das Schiffsregister oder Schiffsbauregister eingetragen; der nach § 923 festgestellte Geldbetrag ist als der Höchstbetrag zu bezeichnen, für den das Schiff oder Schiffsbauwerk haftet. Im Übrigen gelten der § 867 Abs. 1 und 2 und der § 870a Abs. 3 entsprechend, soweit nicht vorstehend etwas anderes bestimmt ist.</w:t>
      </w:r>
    </w:p>
    <w:p>
      <w:r>
        <w:t xml:space="preserve">(7) Die Vollziehung des Arrestes in ein eingetragenes Seeschiff ist unzulässig, wenn sich das Schiff auf der Reise befindet und nicht in einem Hafen liegt.</w:t>
      </w:r>
    </w:p>
    <w:p>
      <w:r>
        <w:rPr>
          <w:color w:val="555555"/>
          <w:sz w:val="17"/>
        </w:rPr>
        <w:t xml:space="preserve">Zitiervorschlag: § 931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