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930 ZPO — Vollziehung in bewegliches Vermögen und Forderungen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Vollziehung des Arrestes in bewegliches Vermögen wird durch Pfändung bewirkt. Die Pfändung erfolgt nach denselben Grundsätzen wie jede andere Pfändung und begründet ein Pfandrecht mit den im § 804 bestimmten Wirkungen. Für die Pfändung einer Forderung ist das Arrestgericht als Vollstreckungsgericht zuständig.</w:t>
      </w:r>
    </w:p>
    <w:p>
      <w:r>
        <w:t xml:space="preserve">(2) Gepfändetes Geld und ein im Verteilungsverfahren auf den Gläubiger fallender Betrag des Erlöses werden hinterlegt.</w:t>
      </w:r>
    </w:p>
    <w:p>
      <w:r>
        <w:t xml:space="preserve">(3) Das Vollstreckungsgericht kann auf Antrag anordnen, dass eine bewegliche körperliche Sache, wenn sie der Gefahr einer beträchtlichen Wertverringerung ausgesetzt ist oder wenn ihre Aufbewahrung unverhältnismäßige Kosten verursachen würde, versteigert und der Erlös hinterlegt werde.</w:t>
      </w:r>
    </w:p>
    <w:p>
      <w:r>
        <w:t xml:space="preserve">(4) Die Vollziehung des Arrestes in ein nicht eingetragenes Seeschiff ist unzulässig, wenn sich das Schiff auf der Reise befindet und nicht in einem Hafen liegt.</w:t>
      </w:r>
    </w:p>
    <w:p>
      <w:r>
        <w:rPr>
          <w:color w:val="555555"/>
          <w:sz w:val="17"/>
        </w:rPr>
        <w:t xml:space="preserve">Zitiervorschlag: § 930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