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922 ZPO — Arresturteil und Arrestbeschluss</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Entscheidung über das Gesuch ergeht im Falle einer mündlichen Verhandlung durch Endurteil, andernfalls durch Beschluss. Die Entscheidung, durch die der Arrest angeordnet wird, ist zu begründen, wenn sie im Ausland geltend gemacht werden soll.</w:t>
      </w:r>
    </w:p>
    <w:p>
      <w:r>
        <w:t xml:space="preserve">(2) Den Beschluss, durch den ein Arrest angeordnet wird, hat die Partei, die den Arrest erwirkt hat, zustellen zu lassen.</w:t>
      </w:r>
    </w:p>
    <w:p>
      <w:r>
        <w:t xml:space="preserve">(3) Der Beschluss, durch den das Arrestgesuch zurückgewiesen oder vorherige Sicherheitsleistung für erforderlich erklärt wird, ist dem Gegner nicht mitzuteilen.</w:t>
      </w:r>
    </w:p>
    <w:p>
      <w:r>
        <w:rPr>
          <w:color w:val="555555"/>
          <w:sz w:val="17"/>
        </w:rPr>
        <w:t xml:space="preserve">Zitiervorschlag: § 922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