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921 ZPO — Entscheidung über das Arrestgesuch</w:t>
      </w:r>
    </w:p>
    <w:p>
      <w:r>
        <w:rPr>
          <w:color w:val="555555"/>
          <w:sz w:val="18"/>
        </w:rPr>
        <w:t xml:space="preserve">Zivilprozessordnung</w:t>
      </w:r>
    </w:p>
    <w:p>
      <w:r>
        <w:rPr>
          <w:color w:val="555555"/>
          <w:sz w:val="18"/>
        </w:rPr>
        <w:t xml:space="preserve">Stand: 10.06.2019 (konsolidierte Textfassung, kein amtliches Inkrafttretensdatum)</w:t>
      </w:r>
    </w:p>
    <w:p>
      <w:r>
        <w:t xml:space="preserve">Das Gericht kann, auch wenn der Anspruch oder der Arrestgrund nicht glaubhaft gemacht ist, den Arrest anordnen, sofern wegen der dem Gegner drohenden Nachteile Sicherheit geleistet wird. Es kann die Anordnung des Arrestes von einer Sicherheitsleistung abhängig machen, selbst wenn der Anspruch und der Arrestgrund glaubhaft gemacht sind.</w:t>
      </w:r>
    </w:p>
    <w:p>
      <w:r>
        <w:rPr>
          <w:color w:val="555555"/>
          <w:sz w:val="17"/>
        </w:rPr>
        <w:t xml:space="preserve">Zitiervorschlag: § 921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