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920 ZPO — Arrestgesuch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Gesuch soll die Bezeichnung des Anspruchs unter Angabe des Geldbetrages oder des Geldwertes sowie die Bezeichnung des Arrestgrundes enthalten.</w:t>
      </w:r>
    </w:p>
    <w:p>
      <w:r>
        <w:t xml:space="preserve">(2) Der Anspruch und der Arrestgrund sind glaubhaft zu machen.</w:t>
      </w:r>
    </w:p>
    <w:p>
      <w:r>
        <w:t xml:space="preserve">(3) Das Gesuch kann vor der Geschäftsstelle zu Protokoll erklärt werden.</w:t>
      </w:r>
    </w:p>
    <w:p>
      <w:r>
        <w:rPr>
          <w:color w:val="555555"/>
          <w:sz w:val="17"/>
        </w:rPr>
        <w:t xml:space="preserve">Zitiervorschlag: § 920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