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906 ZPO — Festsetzung eines abweichenden pfändungsfreien Betrages durch das Vollstreckungsgericht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Wird Guthaben wegen einer der in § 850d oder § 850f Absatz 2 bezeichneten Forderungen gepfändet, tritt an die Stelle der nach § 899 Absatz 1 und § 902 Satz 1 pfändungsfreien Beträge der vom Vollstreckungsgericht im Pfändungsbeschluss belassene Betrag. In den Fällen des § 850d Absatz 1 und 2 kann das Vollstreckungsgericht auf Antrag einen von Satz 1 abweichenden pfändungsfreien Betrag festlegen.</w:t>
      </w:r>
    </w:p>
    <w:p>
      <w:r>
        <w:t xml:space="preserve">(2) Das Vollstreckungsgericht setzt auf Antrag einen von § 899 Absatz 1 und § 902 Satz 1 abweichenden pfändungsfreien Betrag fest, wenn sich aus einer bundes- oder landesrechtlichen Vorschrift eine solche Abweichung ergibt.</w:t>
      </w:r>
    </w:p>
    <w:p>
      <w:r>
        <w:t xml:space="preserve">(3) In den Fällen des Absatzes 1 Satz 2 und des Absatzes 2</w:t>
      </w:r>
    </w:p>
    <w:p>
      <w:pPr>
        <w:ind w:left="420"/>
      </w:pPr>
      <w:r>
        <w:t xml:space="preserve">1. ist der Betrag in der Regel zu beziffern,</w:t>
      </w:r>
    </w:p>
    <w:p>
      <w:pPr>
        <w:ind w:left="420"/>
      </w:pPr>
      <w:r>
        <w:t xml:space="preserve">2. hat das Vollstreckungsgericht zu prüfen, ob eine der in § 732 Absatz 2 bezeichneten Anordnungen zu erlassen ist, und</w:t>
      </w:r>
    </w:p>
    <w:p>
      <w:pPr>
        <w:ind w:left="420"/>
      </w:pPr>
      <w:r>
        <w:t xml:space="preserve">3. gilt § 905 Satz 2 entsprechend.</w:t>
      </w:r>
    </w:p>
    <w:p>
      <w:r>
        <w:t xml:space="preserve">(4) Für Beträge, die nach den Absätzen 1 oder 2 festgesetzt sind, gilt § 899 Absatz 2 entsprechend.</w:t>
      </w:r>
    </w:p>
    <w:p>
      <w:r>
        <w:rPr>
          <w:color w:val="555555"/>
          <w:sz w:val="17"/>
        </w:rPr>
        <w:t xml:space="preserve">Zitiervorschlag: § 906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