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900 ZPO — Moratorium bei Überweisung an den Gläubiger</w:t>
      </w:r>
    </w:p>
    <w:p>
      <w:r>
        <w:rPr>
          <w:color w:val="555555"/>
          <w:sz w:val="18"/>
        </w:rPr>
        <w:t xml:space="preserve">Zivilprozessordnung</w:t>
      </w:r>
    </w:p>
    <w:p>
      <w:r>
        <w:rPr>
          <w:color w:val="555555"/>
          <w:sz w:val="18"/>
        </w:rPr>
        <w:t xml:space="preserve">Stand: 01.12.2021 (konsolidierte Textfassung, kein amtliches Inkrafttretensdatum)</w:t>
      </w:r>
    </w:p>
    <w:p>
      <w:r>
        <w:t xml:space="preserve">(1) Wird künftiges Guthaben auf einem Pfändungsschutzkonto gepfändet und dem Gläubiger überwiesen, darf der Drittschuldner erst nach Ablauf des Kalendermonats, der auf die jeweilige Gutschrift folgt, an den Gläubiger leisten oder den Betrag hinterlegen; eine Verlängerung des in § 899 Absatz 2 bezeichneten Zeitraums erfolgt dadurch nicht. Auf Antrag des Gläubigers kann das Vollstreckungsgericht eine von Satz 1 erster Halbsatz abweichende Anordnung treffen, wenn sonst unter Würdigung des Schutzbedürfnisses des Schuldners für den Gläubiger eine unzumutbare Härte entstünde.</w:t>
      </w:r>
    </w:p>
    <w:p>
      <w:r>
        <w:t xml:space="preserve">(2) Guthaben, aus dem bis zum Ablauf der Frist des Absatzes 1 nicht an den Gläubiger geleistet oder das bis zu diesem Zeitpunkt nicht hinterlegt werden darf, ist in dem auf die Gutschrift folgenden Kalendermonat Guthaben im Sinne des § 899 Absatz 1 Satz 1.</w:t>
      </w:r>
    </w:p>
    <w:p>
      <w:r>
        <w:rPr>
          <w:color w:val="555555"/>
          <w:sz w:val="17"/>
        </w:rPr>
        <w:t xml:space="preserve">Zitiervorschlag: § 900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