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ZPO — Wiederkehrende Nutzungen oder Leistungen</w:t>
      </w:r>
    </w:p>
    <w:p>
      <w:r>
        <w:rPr>
          <w:color w:val="555555"/>
          <w:sz w:val="18"/>
        </w:rPr>
        <w:t xml:space="preserve">Zivilprozessordnung</w:t>
      </w:r>
    </w:p>
    <w:p>
      <w:r>
        <w:rPr>
          <w:color w:val="555555"/>
          <w:sz w:val="18"/>
        </w:rPr>
        <w:t xml:space="preserve">Stand: 10.06.2019 (konsolidierte Textfassung, kein amtliches Inkrafttretensdatum)</w:t>
      </w:r>
    </w:p>
    <w:p>
      <w:r>
        <w:t xml:space="preserve">Der Wert des Rechts auf wiederkehrende Nutzungen oder Leistungen wird nach dem dreieinhalbfachen Wert des einjährigen Bezuges berechnet. Bei bestimmter Dauer des Bezugsrechts ist der Gesamtbetrag der künftigen Bezüge maßgebend, wenn er der geringere ist.</w:t>
      </w:r>
    </w:p>
    <w:p>
      <w:r>
        <w:rPr>
          <w:color w:val="555555"/>
          <w:sz w:val="17"/>
        </w:rPr>
        <w:t xml:space="preserve">Zitiervorschlag: § 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