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888a ZPO — Keine Handlungsvollstreckung bei Entschädigungspflicht</w:t>
      </w:r>
    </w:p>
    <w:p>
      <w:r>
        <w:rPr>
          <w:color w:val="555555"/>
          <w:sz w:val="18"/>
        </w:rPr>
        <w:t xml:space="preserve">Zivilprozessordnung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Ist im Falle des § 510b der Beklagte zur Zahlung einer Entschädigung verurteilt, so ist die Zwangsvollstreckung auf Grund der Vorschriften der §§ 887, 888 ausgeschlossen.</w:t>
      </w:r>
    </w:p>
    <w:p>
      <w:r>
        <w:rPr>
          <w:color w:val="555555"/>
          <w:sz w:val="17"/>
        </w:rPr>
        <w:t xml:space="preserve">Zitiervorschlag: § 888a ZPO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https://recht.nulegal.eu/gesetze/ZPO/888a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