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886 ZPO — Herausgabe bei Gewahrsam eines Dritten</w:t>
      </w:r>
    </w:p>
    <w:p>
      <w:r>
        <w:rPr>
          <w:color w:val="555555"/>
          <w:sz w:val="18"/>
        </w:rPr>
        <w:t xml:space="preserve">Zivilprozessordnung</w:t>
      </w:r>
    </w:p>
    <w:p>
      <w:r>
        <w:rPr>
          <w:color w:val="555555"/>
          <w:sz w:val="18"/>
        </w:rPr>
        <w:t xml:space="preserve">Stand: 10.06.2019 (konsolidierte Textfassung, kein amtliches Inkrafttretensdatum)</w:t>
      </w:r>
    </w:p>
    <w:p>
      <w:r>
        <w:t xml:space="preserve">Befindet sich eine herauszugebende Sache im Gewahrsam eines Dritten, so ist dem Gläubiger auf dessen Antrag der Anspruch des Schuldners auf Herausgabe der Sache nach den Vorschriften zu überweisen, welche die Pfändung und Überweisung einer Geldforderung betreffen.</w:t>
      </w:r>
    </w:p>
    <w:p>
      <w:r>
        <w:rPr>
          <w:color w:val="555555"/>
          <w:sz w:val="17"/>
        </w:rPr>
        <w:t xml:space="preserve">Zitiervorschlag: § 886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