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882i ZPO — Rechte der Betroffenen</w:t>
      </w:r>
    </w:p>
    <w:p>
      <w:r>
        <w:rPr>
          <w:color w:val="555555"/>
          <w:sz w:val="18"/>
        </w:rPr>
        <w:t xml:space="preserve">Zivilprozessordnung</w:t>
      </w:r>
    </w:p>
    <w:p>
      <w:r>
        <w:rPr>
          <w:color w:val="555555"/>
          <w:sz w:val="18"/>
        </w:rPr>
        <w:t xml:space="preserve">Stand: 02.12.2019 (konsolidierte Textfassung, kein amtliches Inkrafttretensdatum)</w:t>
      </w:r>
    </w:p>
    <w:p>
      <w:r>
        <w:t xml:space="preserve">(1) Das Auskunftsrecht nach Artikel 15 Absatz 1 und das Recht auf Erhalt einer Kopie nach Artikel 15 Absatz 3 der Verordnung (EU) 2016/679 wird in Bezug auf die personenbezogenen Daten, die im Schuldnerverzeichnis und in den an das zentrale Vollstreckungsgericht übermittelten Anordnungen der Eintragung in das Schuldnerverzeichnis enthalten sind, dadurch gewährt, dass die betroffene Person Einsicht in das Schuldnerverzeichnis über die zentrale und länderübergreifende Abfrage im Internet nach § 882h Absatz 1 Satz 2 nehmen kann. Eine Information der betroffenen Person über konkrete Empfänger, gegenüber denen die in Satz 1 genannten personenbezogenen Daten offengelegt werden, erfolgt nur insoweit, als Daten zu diesen Empfängern nach den Vorschriften für Zwecke der Datenschutzkontrolle zu speichern sind.</w:t>
      </w:r>
    </w:p>
    <w:p>
      <w:r>
        <w:t xml:space="preserve">(2) Hinsichtlich der im Schuldnerverzeichnis enthaltenen personenbezogenen Daten kann das Recht auf Berichtigung nach Artikel 16 der Verordnung (EU) 2016/679 nur unter den Voraussetzungen ausgeübt werden, die in § 882e für Löschungen von Eintragungen oder die Änderung fehlerhafter Eintragungen vorgesehen sind.</w:t>
      </w:r>
    </w:p>
    <w:p>
      <w:r>
        <w:t xml:space="preserve">(3) Das Widerspruchsrecht gemäß Artikel 21 der Verordnung (EU) 2016/679 gilt nicht in Bezug auf die personenbezogenen Daten, die im Schuldnerverzeichnis und in den an das zentrale Vollstreckungsgericht übermittelten Anordnungen der Eintragung in das Schuldnerverzeichnis enthalten sind.</w:t>
      </w:r>
    </w:p>
    <w:p>
      <w:r>
        <w:rPr>
          <w:color w:val="555555"/>
          <w:sz w:val="17"/>
        </w:rPr>
        <w:t xml:space="preserve">Zitiervorschlag: § 882i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https://recht.nulegal.eu/gesetze/ZPO/882i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