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88 ZPO — Mangel der Vollmacht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Mangel der Vollmacht kann von dem Gegner in jeder Lage des Rechtsstreits gerügt werden.</w:t>
      </w:r>
    </w:p>
    <w:p>
      <w:r>
        <w:t xml:space="preserve">(2) Das Gericht hat den Mangel der Vollmacht von Amts wegen zu berücksichtigen, wenn nicht als Bevollmächtigter ein Rechtsanwalt auftritt.</w:t>
      </w:r>
    </w:p>
    <w:p>
      <w:r>
        <w:rPr>
          <w:color w:val="555555"/>
          <w:sz w:val="17"/>
        </w:rPr>
        <w:t xml:space="preserve">Zitiervorschlag: § 88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