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875 ZPO — Terminsbestimmung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hat zur Erklärung über den Teilungsplan sowie zur Ausführung der Verteilung einen Termin zu bestimmen. Der Teilungsplan muss spätestens drei Tage vor dem Termin auf der Geschäftsstelle zur Einsicht der Beteiligten niedergelegt werden.</w:t>
      </w:r>
    </w:p>
    <w:p>
      <w:r>
        <w:t xml:space="preserve">(2) Die Ladung des Schuldners zu dem Termin ist nicht erforderlich, wenn sie durch Zustellung im Ausland oder durch öffentliche Zustellung erfolgen müsste.</w:t>
      </w:r>
    </w:p>
    <w:p>
      <w:r>
        <w:rPr>
          <w:color w:val="555555"/>
          <w:sz w:val="17"/>
        </w:rPr>
        <w:t xml:space="preserve">Zitiervorschlag: § 875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https://recht.nulegal.eu/gesetze/ZPO/875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