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874 ZPO — Teilungsplan</w:t>
      </w:r>
    </w:p>
    <w:p>
      <w:r>
        <w:rPr>
          <w:color w:val="555555"/>
          <w:sz w:val="18"/>
        </w:rPr>
        <w:t xml:space="preserve">Zivilprozessordnung</w:t>
      </w:r>
    </w:p>
    <w:p>
      <w:r>
        <w:rPr>
          <w:color w:val="555555"/>
          <w:sz w:val="18"/>
        </w:rPr>
        <w:t xml:space="preserve">Stand: 10.06.2019 (konsolidierte Textfassung, kein amtliches Inkrafttretensdatum)</w:t>
      </w:r>
    </w:p>
    <w:p>
      <w:r>
        <w:t xml:space="preserve">(1) Nach Ablauf der zweiwöchigen Fristen wird von dem Gericht ein Teilungsplan angefertigt.</w:t>
      </w:r>
    </w:p>
    <w:p>
      <w:r>
        <w:t xml:space="preserve">(2) Der Betrag der Kosten des Verfahrens ist von dem Bestand der Masse vorweg in Abzug zu bringen.</w:t>
      </w:r>
    </w:p>
    <w:p>
      <w:r>
        <w:t xml:space="preserve">(3) Die Forderung eines Gläubigers, der bis zur Anfertigung des Teilungsplanes der an ihn gerichteten Aufforderung nicht nachgekommen ist, wird nach der Anzeige und deren Unterlagen berechnet. Eine nachträgliche Ergänzung der Forderung findet nicht statt.</w:t>
      </w:r>
    </w:p>
    <w:p>
      <w:r>
        <w:rPr>
          <w:color w:val="555555"/>
          <w:sz w:val="17"/>
        </w:rPr>
        <w:t xml:space="preserve">Zitiervorschlag: § 874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