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870a ZPO — Zwangsvollstreckung in ein Schiff oder Schiffsbauwerk</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Zwangsvollstreckung in ein eingetragenes Schiff oder in ein Schiffsbauwerk, das im Schiffsbauregister eingetragen ist oder in dieses Register eingetragen werden kann, erfolgt durch Eintragung einer Schiffshypothek für die Forderung oder durch Zwangsversteigerung. Die Anordnung einer Zwangsversteigerung eines Seeschiffs ist unzulässig, wenn sich das Schiff auf der Reise befindet und nicht in einem Hafen liegt.</w:t>
      </w:r>
    </w:p>
    <w:p>
      <w:r>
        <w:t xml:space="preserve">(2) § 866 Abs. 2, 3, § 867 gelten entsprechend.</w:t>
      </w:r>
    </w:p>
    <w:p>
      <w:r>
        <w:t xml:space="preserve">(3) Wird durch eine vollstreckbare Entscheidung die zu vollstreckende Entscheidung oder ihre vorläufige Vollstreckbarkeit aufgehoben oder die Zwangsvollstreckung für unzulässig erklärt oder deren Einstellung angeordnet, so erlischt die Schiffshypothek; § 57 Abs. 3 des Gesetzes über Rechte an eingetragenen Schiffen und Schiffsbauwerken vom 15. November 1940 (RGBl. I S. 1499) ist anzuwenden. Das Gleiche gilt, wenn durch eine gerichtliche Entscheidung die einstweilige Einstellung der Zwangsvollstreckung und zugleich die Aufhebung der erfolgten Vollstreckungsmaßregeln angeordnet wird oder wenn die zur Abwendung der Vollstreckung nachgelassene Sicherheitsleistung oder Hinterlegung erfolgt.</w:t>
      </w:r>
    </w:p>
    <w:p>
      <w:r>
        <w:rPr>
          <w:color w:val="555555"/>
          <w:sz w:val="17"/>
        </w:rPr>
        <w:t xml:space="preserve">Zitiervorschlag: § 870a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https://recht.nulegal.eu/gesetze/ZPO/870a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