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866 ZPO — Arten der 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Zwangsvollstreckung in ein Grundstück erfolgt durch Eintragung einer Sicherungshypothek für die Forderung, durch Zwangsversteigerung und durch Zwangsverwaltung.</w:t>
      </w:r>
    </w:p>
    <w:p>
      <w:r>
        <w:t xml:space="preserve">(2) Der Gläubiger kann verlangen, dass eine dieser Maßregeln allein oder neben den übrigen ausgeführt werde.</w:t>
      </w:r>
    </w:p>
    <w:p>
      <w:r>
        <w:t xml:space="preserve">(3) Eine Sicherungshypothek (Absatz 1) darf nur für einen Betrag von mehr als 750 Euro eingetragen werden; Zinsen bleiben dabei unberücksichtigt, soweit sie als Nebenforderung geltend gemacht sind. Auf Grund mehrerer demselben Gläubiger zustehender Schuldtitel kann eine einheitliche Sicherungshypothek eingetragen werden.</w:t>
      </w:r>
    </w:p>
    <w:p>
      <w:r>
        <w:rPr>
          <w:color w:val="555555"/>
          <w:sz w:val="17"/>
        </w:rPr>
        <w:t xml:space="preserve">Zitiervorschlag: § 866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