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865 ZPO — Verhältnis zur Mobiliarvollstreckung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Zwangsvollstreckung in das unbewegliche Vermögen umfasst auch die Gegenstände, auf die sich bei Grundstücken und Berechtigungen die Hypothek, bei Schiffen oder Schiffsbauwerken die Schiffshypothek erstreckt.</w:t>
      </w:r>
    </w:p>
    <w:p>
      <w:r>
        <w:t xml:space="preserve">(2) Diese Gegenstände können, soweit sie Zubehör sind, nicht gepfändet werden. Im Übrigen unterliegen sie der Zwangsvollstreckung in das bewegliche Vermögen, solange nicht ihre Beschlagnahme im Wege der Zwangsvollstreckung in das unbewegliche Vermögen erfolgt ist.</w:t>
      </w:r>
    </w:p>
    <w:p>
      <w:r>
        <w:rPr>
          <w:color w:val="555555"/>
          <w:sz w:val="17"/>
        </w:rPr>
        <w:t xml:space="preserve">Zitiervorschlag: § 865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