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863 ZPO — Pfändungsbeschränkungen bei Erbschaftsnutzungen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der Schuldner als Erbe nach § 2338 des Bürgerlichen Gesetzbuchs durch die Einsetzung eines Nacherben beschränkt, so sind die Nutzungen der Erbschaft der Pfändung nicht unterworfen, soweit sie zur Erfüllung der dem Schuldner seinem Ehegatten, seinem früheren Ehegatten, seinem Lebenspartner, einem früheren Lebenspartner oder seinen Verwandten gegenüber gesetzlich obliegenden Unterhaltspflicht und zur Bestreitung seines standesmäßigen Unterhalts erforderlich sind. Das Gleiche gilt, wenn der Schuldner nach § 2338 des Bürgerlichen Gesetzbuchs durch die Ernennung eines Testamentsvollstreckers beschränkt ist, für seinen Anspruch auf den jährlichen Reinertrag.</w:t>
      </w:r>
    </w:p>
    <w:p>
      <w:r>
        <w:t xml:space="preserve">(2) Die Pfändung ist unbeschränkt zulässig, wenn der Anspruch eines Nachlassgläubigers oder ein auch dem Nacherben oder dem Testamentsvollstrecker gegenüber wirksames Recht geltend gemacht wird.</w:t>
      </w:r>
    </w:p>
    <w:p>
      <w:r>
        <w:t xml:space="preserve">(3) Diese Vorschriften gelten entsprechend, wenn der Anteil eines Abkömmlings an dem Gesamtgut der fortgesetzten Gütergemeinschaft nach § 1513 Abs. 2 des Bürgerlichen Gesetzbuchs einer Beschränkung der im Absatz 1 bezeichneten Art unterliegt.</w:t>
      </w:r>
    </w:p>
    <w:p>
      <w:r>
        <w:rPr>
          <w:color w:val="555555"/>
          <w:sz w:val="17"/>
        </w:rPr>
        <w:t xml:space="preserve">Zitiervorschlag: § 863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