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860 ZPO — Pfändung von Gesamtgutanteilen</w:t>
      </w:r>
    </w:p>
    <w:p>
      <w:r>
        <w:rPr>
          <w:color w:val="555555"/>
          <w:sz w:val="18"/>
        </w:rPr>
        <w:t xml:space="preserve">Zivilprozessordnung</w:t>
      </w:r>
    </w:p>
    <w:p>
      <w:r>
        <w:rPr>
          <w:color w:val="555555"/>
          <w:sz w:val="18"/>
        </w:rPr>
        <w:t xml:space="preserve">Stand: 10.06.2019 (konsolidierte Textfassung, kein amtliches Inkrafttretensdatum)</w:t>
      </w:r>
    </w:p>
    <w:p>
      <w:r>
        <w:t xml:space="preserve">(1) Bei dem Güterstand der Gütergemeinschaft ist der Anteil eines Ehegatten oder Lebenspartners an dem Gesamtgut und an den einzelnen dazu gehörenden Gegenständen der Pfändung nicht unterworfen. Das Gleiche gilt bei der fortgesetzten Gütergemeinschaft von den Anteilen des überlebenden Ehegatten oder Lebenspartners und der Abkömmlinge.</w:t>
      </w:r>
    </w:p>
    <w:p>
      <w:r>
        <w:t xml:space="preserve">(2) Nach der Beendigung der Gemeinschaft ist der Anteil an dem Gesamtgut zugunsten der Gläubiger des Anteilsberechtigten der Pfändung unterworfen.</w:t>
      </w:r>
    </w:p>
    <w:p>
      <w:r>
        <w:rPr>
          <w:color w:val="555555"/>
          <w:sz w:val="17"/>
        </w:rPr>
        <w:t xml:space="preserve">Zitiervorschlag: § 860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