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858 ZPO — Zwangsvollstreckung in Schiffspart</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die Zwangsvollstreckung in die Schiffspart (§§ 489 ff. des Handelsgesetzbuchs) gilt § 857 mit folgenden Abweichungen.</w:t>
      </w:r>
    </w:p>
    <w:p>
      <w:r>
        <w:t xml:space="preserve">(2) Als Vollstreckungsgericht ist das Amtsgericht zuständig, bei dem das Register für das Schiff geführt wird.</w:t>
      </w:r>
    </w:p>
    <w:p>
      <w:r>
        <w:t xml:space="preserve">(3) Die Pfändung bedarf der Eintragung in das Schiffsregister; die Eintragung erfolgt auf Grund des Pfändungsbeschlusses. Der Pfändungsbeschluss soll dem Korrespondentreeder zugestellt werden; wird der Beschluss diesem vor der Eintragung zugestellt, so gilt die Pfändung ihm gegenüber mit der Zustellung als bewirkt.</w:t>
      </w:r>
    </w:p>
    <w:p>
      <w:r>
        <w:t xml:space="preserve">(4) Verwertet wird die gepfändete Schiffspart im Wege der Veräußerung. Dem Antrag auf Anordnung der Veräußerung ist ein Auszug aus dem Schiffsregister beizufügen, der alle das Schiff und die Schiffspart betreffenden Eintragungen enthält; der Auszug darf nicht älter als eine Woche sein.</w:t>
      </w:r>
    </w:p>
    <w:p>
      <w:r>
        <w:t xml:space="preserve">(5) Ergibt der Auszug aus dem Schiffsregister, dass die Schiffspart mit einem Pfandrecht belastet ist, das einem anderen als dem betreibenden Gläubiger zusteht, so ist die Hinterlegung des Erlöses anzuordnen. Der Erlös wird in diesem Fall nach den Vorschriften der §§ 873 bis 882 verteilt; Forderungen, für die ein Pfandrecht an der Schiffspart eingetragen ist, sind nach dem Inhalt des Schiffsregisters in den Teilungsplan aufzunehmen.</w:t>
      </w:r>
    </w:p>
    <w:p>
      <w:r>
        <w:rPr>
          <w:color w:val="555555"/>
          <w:sz w:val="17"/>
        </w:rPr>
        <w:t xml:space="preserve">Zitiervorschlag: § 858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https://recht.nulegal.eu/gesetze/ZPO/858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