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856 ZPO — Klage bei mehrfacher Pfändung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Gläubiger, dem der Anspruch überwiesen wurde, ist berechtigt, gegen den Drittschuldner Klage auf Erfüllung der nach den Vorschriften der §§ 853 bis 855 diesem obliegenden Verpflichtungen zu erheben.</w:t>
      </w:r>
    </w:p>
    <w:p>
      <w:r>
        <w:t xml:space="preserve">(2) Jeder Gläubiger, für den der Anspruch gepfändet ist, kann sich dem Kläger in jeder Lage des Rechtsstreits als Streitgenosse anschließen.</w:t>
      </w:r>
    </w:p>
    <w:p>
      <w:r>
        <w:t xml:space="preserve">(3) Der Drittschuldner hat bei dem Prozessgericht zu beantragen, dass die Gläubiger, welche die Klage nicht erhoben und dem Kläger sich nicht angeschlossen haben, zum Termin zur mündlichen Verhandlung geladen werden.</w:t>
      </w:r>
    </w:p>
    <w:p>
      <w:r>
        <w:t xml:space="preserve">(4) Die Entscheidung, die in dem Rechtsstreit über den in der Klage erhobenen Anspruch erlassen wird, ist für und gegen sämtliche Gläubiger wirksam.</w:t>
      </w:r>
    </w:p>
    <w:p>
      <w:r>
        <w:t xml:space="preserve">(5) Der Drittschuldner kann sich gegenüber einem Gläubiger auf die ihm günstige Entscheidung nicht berufen, wenn der Gläubiger zum Termin zur mündlichen Verhandlung nicht geladen worden ist.</w:t>
      </w:r>
    </w:p>
    <w:p>
      <w:r>
        <w:rPr>
          <w:color w:val="555555"/>
          <w:sz w:val="17"/>
        </w:rPr>
        <w:t xml:space="preserve">Zitiervorschlag: § 856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