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855a ZPO — Mehrfache Pfändung eines Anspruchs auf ein Schiff</w:t>
      </w:r>
    </w:p>
    <w:p>
      <w:r>
        <w:rPr>
          <w:color w:val="555555"/>
          <w:sz w:val="18"/>
        </w:rPr>
        <w:t xml:space="preserve">Zivilprozessordnung</w:t>
      </w:r>
    </w:p>
    <w:p>
      <w:r>
        <w:rPr>
          <w:color w:val="555555"/>
          <w:sz w:val="18"/>
        </w:rPr>
        <w:t xml:space="preserve">Stand: 10.06.2019 (konsolidierte Textfassung, kein amtliches Inkrafttretensdatum)</w:t>
      </w:r>
    </w:p>
    <w:p>
      <w:r>
        <w:t xml:space="preserve">(1) Betrifft der Anspruch ein eingetragenes Schiff, so ist der Drittschuldner berechtigt und auf Verlangen eines Gläubigers, dem der Anspruch überwiesen wurde, verpflichtet, das Schiff unter Anzeige der Sachlage und unter Aushändigung der Beschlüsse dem Treuhänder herauszugeben, der in dem ihm zuerst zugestellten Beschluss bestellt ist.</w:t>
      </w:r>
    </w:p>
    <w:p>
      <w:r>
        <w:t xml:space="preserve">(2) Absatz 1 gilt sinngemäß, wenn der Anspruch ein Schiffsbauwerk betrifft, das im Schiffsbauregister eingetragen ist oder in dieses Register eingetragen werden kann.</w:t>
      </w:r>
    </w:p>
    <w:p>
      <w:r>
        <w:rPr>
          <w:color w:val="555555"/>
          <w:sz w:val="17"/>
        </w:rPr>
        <w:t xml:space="preserve">Zitiervorschlag: § 855a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