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855 ZPO — Mehrfache Pfändung eines Anspruchs auf eine unbewegliche Sache</w:t>
      </w:r>
    </w:p>
    <w:p>
      <w:r>
        <w:rPr>
          <w:color w:val="555555"/>
          <w:sz w:val="18"/>
        </w:rPr>
        <w:t xml:space="preserve">Zivilprozessordnung</w:t>
      </w:r>
    </w:p>
    <w:p>
      <w:r>
        <w:rPr>
          <w:color w:val="555555"/>
          <w:sz w:val="18"/>
        </w:rPr>
        <w:t xml:space="preserve">Stand: 10.06.2019 (konsolidierte Textfassung, kein amtliches Inkrafttretensdatum)</w:t>
      </w:r>
    </w:p>
    <w:p>
      <w:r>
        <w:t xml:space="preserve">Betrifft der Anspruch eine unbewegliche Sache, so ist der Drittschuldner berechtigt und auf Verlangen eines Gläubigers, dem der Anspruch überwiesen wurde, verpflichtet, die Sache unter Anzeige der Sachlage und unter Aushändigung der ihm zugestellten Beschlüsse an den von dem Amtsgericht der belegenen Sache ernannten oder auf seinen Antrag zu ernennenden Sequester herauszugeben.</w:t>
      </w:r>
    </w:p>
    <w:p>
      <w:r>
        <w:rPr>
          <w:color w:val="555555"/>
          <w:sz w:val="17"/>
        </w:rPr>
        <w:t xml:space="preserve">Zitiervorschlag: § 855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