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854 ZPO — Mehrfache Pfändung eines Anspruchs auf bewegliche Sachen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 Anspruch, der eine bewegliche körperliche Sache betrifft, für mehrere Gläubiger gepfändet, so ist der Drittschuldner berechtigt und auf Verlangen eines Gläubigers, dem der Anspruch überwiesen wurde, verpflichtet, die Sache unter Anzeige der Sachlage und unter Aushändigung der ihm zugestellten Beschlüsse dem Gerichtsvollzieher herauszugeben, der nach dem ihm zuerst zugestellten Beschluss zur Empfangnahme der Sache ermächtigt ist. Hat der Gläubiger einen solchen Gerichtsvollzieher nicht bezeichnet, so wird dieser auf Antrag des Drittschuldners von dem Amtsgericht des Ortes ernannt, wo die Sache herauszugeben ist.</w:t>
      </w:r>
    </w:p>
    <w:p>
      <w:r>
        <w:t xml:space="preserve">(2) Ist der Erlös zur Deckung der Forderungen nicht ausreichend und verlangt der Gläubiger, für den die zweite oder eine spätere Pfändung erfolgt ist, ohne Zustimmung der übrigen beteiligten Gläubiger eine andere Verteilung als nach der Reihenfolge der Pfändungen, so hat der Gerichtsvollzieher die Sachlage unter Hinterlegung des Erlöses dem Amtsgericht anzuzeigen, dessen Beschluss dem Drittschuldner zuerst zugestellt ist. Dieser Anzeige sind die Dokumente beizufügen, die sich auf das Verfahren beziehen.</w:t>
      </w:r>
    </w:p>
    <w:p>
      <w:r>
        <w:t xml:space="preserve">(3) In gleicher Weise ist zu verfahren, wenn die Pfändung für mehrere Gläubiger gleichzeitig bewirkt ist.</w:t>
      </w:r>
    </w:p>
    <w:p>
      <w:r>
        <w:rPr>
          <w:color w:val="555555"/>
          <w:sz w:val="17"/>
        </w:rPr>
        <w:t xml:space="preserve">Zitiervorschlag: § 854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