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852 ZPO — Beschränkt pfändbare Forderungen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Pflichtteilsanspruch ist der Pfändung nur unterworfen, wenn er durch Vertrag anerkannt oder rechtshängig geworden ist.</w:t>
      </w:r>
    </w:p>
    <w:p>
      <w:r>
        <w:t xml:space="preserve">(2) Das Gleiche gilt für den nach § 528 des Bürgerlichen Gesetzbuchs dem Schenker zustehenden Anspruch auf Herausgabe des Geschenkes sowie für den Anspruch eines Ehegatten oder Lebenspartners auf den Ausgleich des Zugewinns.</w:t>
      </w:r>
    </w:p>
    <w:p>
      <w:r>
        <w:rPr>
          <w:color w:val="555555"/>
          <w:sz w:val="17"/>
        </w:rPr>
        <w:t xml:space="preserve">Zitiervorschlag: § 852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