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851 ZPO — Nicht übertragbare Forderungen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Forderung ist in Ermangelung besonderer Vorschriften der Pfändung nur insoweit unterworfen, als sie übertragbar ist.</w:t>
      </w:r>
    </w:p>
    <w:p>
      <w:r>
        <w:t xml:space="preserve">(2) Eine nach § 399 des Bürgerlichen Gesetzbuchs nicht übertragbare Forderung kann insoweit gepfändet und zur Einziehung überwiesen werden, als der geschuldete Gegenstand der Pfändung unterworfen ist.</w:t>
      </w:r>
    </w:p>
    <w:p>
      <w:r>
        <w:rPr>
          <w:color w:val="555555"/>
          <w:sz w:val="17"/>
        </w:rPr>
        <w:t xml:space="preserve">Zitiervorschlag: § 851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