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850 ZPO — Pfändungsschutz für Arbeitseinkommen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Arbeitseinkommen, das in Geld zahlbar ist, kann nur nach Maßgabe der §§ 850a bis 850i gepfändet werden.</w:t>
      </w:r>
    </w:p>
    <w:p>
      <w:r>
        <w:t xml:space="preserve">(2) Arbeitseinkommen im Sinne dieser Vorschrift sind die Dienst- und Versorgungsbezüge der Beamten, Arbeits- und Dienstlöhne, Ruhegelder und ähnliche nach dem einstweiligen oder dauernden Ausscheiden aus dem Dienst- oder Arbeitsverhältnis gewährte fortlaufende Einkünfte, ferner Hinterbliebenenbezüge sowie sonstige Vergütungen für Dienstleistungen aller Art, die die Erwerbstätigkeit des Schuldners vollständig oder zu einem wesentlichen Teil in Anspruch nehmen.</w:t>
      </w:r>
    </w:p>
    <w:p>
      <w:r>
        <w:t xml:space="preserve">(3) Arbeitseinkommen sind auch die folgenden Bezüge, soweit sie in Geld zahlbar sind:</w:t>
      </w:r>
    </w:p>
    <w:p>
      <w:pPr>
        <w:ind w:left="420"/>
      </w:pPr>
      <w:r>
        <w:t xml:space="preserve">a) Bezüge, die ein Arbeitnehmer zum Ausgleich für Wettbewerbsbeschränkungen für die Zeit nach Beendigung seines Dienstverhältnisses beanspruchen kann;</w:t>
      </w:r>
    </w:p>
    <w:p>
      <w:pPr>
        <w:ind w:left="420"/>
      </w:pPr>
      <w:r>
        <w:t xml:space="preserve">b) Renten, die auf Grund von Versicherungsverträgen gewährt werden, wenn diese Verträge zur Versorgung des Versicherungsnehmers oder seiner unterhaltsberechtigten Angehörigen eingegangen sind.</w:t>
      </w:r>
    </w:p>
    <w:p>
      <w:r>
        <w:t xml:space="preserve">(4) Die Pfändung des in Geld zahlbaren Arbeitseinkommens erfasst alle Vergütungen, die dem Schuldner aus der Arbeits- oder Dienstleistung zustehen, ohne Rücksicht auf ihre Benennung oder Berechnungsart.</w:t>
      </w:r>
    </w:p>
    <w:p>
      <w:r>
        <w:rPr>
          <w:color w:val="555555"/>
          <w:sz w:val="17"/>
        </w:rPr>
        <w:t xml:space="preserve">Zitiervorschlag: § 850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