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847 ZPO — Herausgabeanspruch auf eine bewegliche Sache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Pfändung eines Anspruchs, der eine bewegliche körperliche Sache betrifft, ist anzuordnen, dass die Sache an einen vom Gläubiger zu beauftragenden Gerichtsvollzieher herauszugeben sei.</w:t>
      </w:r>
    </w:p>
    <w:p>
      <w:r>
        <w:t xml:space="preserve">(2) Auf die Verwertung der Sache sind die Vorschriften über die Verwertung gepfändeter Sachen anzuwenden.</w:t>
      </w:r>
    </w:p>
    <w:p>
      <w:r>
        <w:rPr>
          <w:color w:val="555555"/>
          <w:sz w:val="17"/>
        </w:rPr>
        <w:t xml:space="preserve">Zitiervorschlag: § 847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https://recht.nulegal.eu/gesetze/ZPO/847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