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844 ZPO — Andere Verwertungsart</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die gepfändete Forderung bedingt oder betagt oder ist ihre Einziehung wegen der Abhängigkeit von einer Gegenleistung oder aus anderen Gründen mit Schwierigkeiten verbunden, so kann das Gericht auf Antrag an Stelle der Überweisung eine andere Art der Verwertung anordnen.</w:t>
      </w:r>
    </w:p>
    <w:p>
      <w:r>
        <w:t xml:space="preserve">(2) Vor dem Beschluss, durch welchen dem Antrag stattgegeben wird, ist der Gegner zu hören, sofern nicht eine Zustellung im Ausland oder eine öffentliche Zustellung erforderlich wird.</w:t>
      </w:r>
    </w:p>
    <w:p>
      <w:r>
        <w:rPr>
          <w:color w:val="555555"/>
          <w:sz w:val="17"/>
        </w:rPr>
        <w:t xml:space="preserve">Zitiervorschlag: § 844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