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843 ZPO — Verzicht des Pfandgläubigers</w:t>
      </w:r>
    </w:p>
    <w:p>
      <w:r>
        <w:rPr>
          <w:color w:val="555555"/>
          <w:sz w:val="18"/>
        </w:rPr>
        <w:t xml:space="preserve">Zivilprozessordnung</w:t>
      </w:r>
    </w:p>
    <w:p>
      <w:r>
        <w:rPr>
          <w:color w:val="555555"/>
          <w:sz w:val="18"/>
        </w:rPr>
        <w:t xml:space="preserve">Stand: 10.06.2019 (konsolidierte Textfassung, kein amtliches Inkrafttretensdatum)</w:t>
      </w:r>
    </w:p>
    <w:p>
      <w:r>
        <w:t xml:space="preserve">Der Gläubiger kann auf die durch Pfändung und Überweisung zur Einziehung erworbenen Rechte unbeschadet seines Anspruchs verzichten. Die Verzichtleistung erfolgt durch eine dem Schuldner zuzustellende Erklärung. Die Erklärung ist auch dem Drittschuldner zuzustellen.</w:t>
      </w:r>
    </w:p>
    <w:p>
      <w:r>
        <w:rPr>
          <w:color w:val="555555"/>
          <w:sz w:val="17"/>
        </w:rPr>
        <w:t xml:space="preserve">Zitiervorschlag: § 843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https://recht.nulegal.eu/gesetze/ZPO/843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