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835 ZPO — Überweisung einer Geldforderung</w:t>
      </w:r>
    </w:p>
    <w:p>
      <w:r>
        <w:rPr>
          <w:color w:val="555555"/>
          <w:sz w:val="18"/>
        </w:rPr>
        <w:t xml:space="preserve">Zivilprozessordnung</w:t>
      </w:r>
    </w:p>
    <w:p>
      <w:r>
        <w:rPr>
          <w:color w:val="555555"/>
          <w:sz w:val="18"/>
        </w:rPr>
        <w:t xml:space="preserve">Stand: 01.12.2021 (konsolidierte Textfassung, kein amtliches Inkrafttretensdatum)</w:t>
      </w:r>
    </w:p>
    <w:p>
      <w:r>
        <w:t xml:space="preserve">(1) Die gepfändete Geldforderung ist dem Gläubiger nach seiner Wahl zur Einziehung oder an Zahlungs statt zum Nennwert zu überweisen.</w:t>
      </w:r>
    </w:p>
    <w:p>
      <w:r>
        <w:t xml:space="preserve">(2) Im letzteren Fall geht die Forderung auf den Gläubiger mit der Wirkung über, dass er, soweit die Forderung besteht, wegen seiner Forderung an den Schuldner als befriedigt anzusehen ist.</w:t>
      </w:r>
    </w:p>
    <w:p>
      <w:r>
        <w:t xml:space="preserve">(3) Die Vorschriften des § 829 Abs. 2, 3 sind auf die Überweisung entsprechend anzuwenden. Wird ein bei einem Kreditinstitut gepfändetes Guthaben eines Schuldners, der eine natürliche Person ist, dem Gläubiger überwiesen, so darf erst einen Monat nach der Zustellung des Überweisungsbeschlusses an den Drittschuldner aus dem Guthaben an den Gläubiger geleistet oder der Betrag hinterlegt werden; ist künftiges Guthaben gepfändet worden, ordnet das Vollstreckungsgericht auf Antrag zusätzlich an, dass erst einen Monat nach der Gutschrift von eingehenden Zahlungen an den Gläubiger geleistet oder der Betrag hinterlegt werden darf.</w:t>
      </w:r>
    </w:p>
    <w:p>
      <w:r>
        <w:t xml:space="preserve">(4) Wenn nicht wiederkehrend zahlbare Vergütungen eines Schuldners, der eine natürliche Person ist, für persönlich geleistete Arbeiten oder Dienste oder sonstige Einkünfte, die kein Arbeitseinkommen sind, dem Gläubiger überwiesen werden, so darf der Drittschuldner erst einen Monat nach der Zustellung des Überweisungsbeschlusses an den Gläubiger leisten oder den Betrag hinterlegen.</w:t>
      </w:r>
    </w:p>
    <w:p>
      <w:r>
        <w:rPr>
          <w:color w:val="555555"/>
          <w:sz w:val="17"/>
        </w:rPr>
        <w:t xml:space="preserve">Zitiervorschlag: § 835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