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833a ZPO — Pfändungsumfang bei Kontoguthaben</w:t>
      </w:r>
    </w:p>
    <w:p>
      <w:r>
        <w:rPr>
          <w:color w:val="555555"/>
          <w:sz w:val="18"/>
        </w:rPr>
        <w:t xml:space="preserve">Zivilprozessordnung</w:t>
      </w:r>
    </w:p>
    <w:p>
      <w:r>
        <w:rPr>
          <w:color w:val="555555"/>
          <w:sz w:val="18"/>
        </w:rPr>
        <w:t xml:space="preserve">Stand: 10.06.2019 (konsolidierte Textfassung, kein amtliches Inkrafttretensdatum)</w:t>
      </w:r>
    </w:p>
    <w:p>
      <w:r>
        <w:t xml:space="preserve">Die Pfändung des Guthabens eines Kontos bei einem Kreditinstitut umfasst das am Tag der Zustellung des Pfändungsbeschlusses bei dem Kreditinstitut bestehende Guthaben sowie die Tagesguthaben der auf die Pfändung folgenden Tage.</w:t>
      </w:r>
    </w:p>
    <w:p>
      <w:r>
        <w:rPr>
          <w:color w:val="555555"/>
          <w:sz w:val="17"/>
        </w:rPr>
        <w:t xml:space="preserve">Zitiervorschlag: § 833a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