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832 ZPO — Pfändungsumfang bei fortlaufenden Bezügen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Pfandrecht, das durch die Pfändung einer Gehaltsforderung oder einer ähnlichen in fortlaufenden Bezügen bestehenden Forderung erworben wird, erstreckt sich auch auf die nach der Pfändung fällig werdenden Beträge.</w:t>
      </w:r>
    </w:p>
    <w:p>
      <w:r>
        <w:rPr>
          <w:color w:val="555555"/>
          <w:sz w:val="17"/>
        </w:rPr>
        <w:t xml:space="preserve">Zitiervorschlag: § 832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https://recht.nulegal.eu/gesetze/ZPO/832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