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829 ZPO — Pfändung einer Geldforderung</w:t>
      </w:r>
    </w:p>
    <w:p>
      <w:r>
        <w:rPr>
          <w:color w:val="555555"/>
          <w:sz w:val="18"/>
        </w:rPr>
        <w:t xml:space="preserve">Zivilprozessordnung</w:t>
      </w:r>
    </w:p>
    <w:p>
      <w:r>
        <w:rPr>
          <w:color w:val="555555"/>
          <w:sz w:val="18"/>
        </w:rPr>
        <w:t xml:space="preserve">Stand: 06.07.2022 (konsolidierte Textfassung, kein amtliches Inkrafttretensdatum)</w:t>
      </w:r>
    </w:p>
    <w:p>
      <w:r>
        <w:t xml:space="preserve">(1) Soll eine Geldforderung gepfändet werden, so hat das Gericht dem Drittschuldner zu verbieten, an den Schuldner zu zahlen. Zugleich hat das Gericht an den Schuldner das Gebot zu erlassen, sich jeder Verfügung über die Forderung, insbesondere ihrer Einziehung, zu enthalten. Die Pfändung mehrerer Geldforderungen gegen verschiedene Drittschuldner soll auf Antrag des Gläubigers durch einheitlichen Beschluss ausgesprochen werden, soweit dies für Zwecke der Vollstreckung geboten erscheint und kein Grund zu der Annahme besteht, dass schutzwürdige Interessen der Drittschuldner entgegenstehen.</w:t>
      </w:r>
    </w:p>
    <w:p>
      <w:r>
        <w:t xml:space="preserve">(2) Der Gläubiger hat den Beschluss dem Drittschuldner zustellen zu lassen. Der Gerichtsvollzieher hat dem Schuldner den Beschluss mit dem Zustellungsnachweis sofort zuzustellen, sofern nicht eine öffentliche Zustellung erforderlich ist. An Stelle einer an den Schuldner im Ausland zu bewirkenden Zustellung erfolgt die Zustellung durch Aufgabe zur Post, sofern die Zustellung nicht nach unmittelbar anwendbaren Regelungen der Europäischen Union zu bewirken ist.</w:t>
      </w:r>
    </w:p>
    <w:p>
      <w:r>
        <w:t xml:space="preserve">(3) Mit der Zustellung des Beschlusses an den Drittschuldner ist die Pfändung als bewirkt anzusehen.</w:t>
      </w:r>
    </w:p>
    <w:p>
      <w:r>
        <w:t xml:space="preserve">(4) Das Bundesministerium der Justiz und für Verbraucherschutz wird ermächtigt, durch Rechtsverordnung mit Zustimmung des Bundesrates Formulare für den Antrag auf Erlass eines Pfändungs- und Überweisungsbeschlusses einzuführen. Soweit nach Satz 1 Formulare eingeführt sind, muss sich der Antragsteller ihrer bedienen. Für Verfahren bei Gerichten, die die Verfahren elektronisch bearbeiten, und für Verfahren bei Gerichten, die die Verfahren nicht elektronisch bearbeiten, können unterschiedliche Formulare eingeführt werden.</w:t>
      </w:r>
    </w:p>
    <w:p>
      <w:r>
        <w:rPr>
          <w:color w:val="555555"/>
          <w:sz w:val="17"/>
        </w:rPr>
        <w:t xml:space="preserve">Zitiervorschlag: § 829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